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5BC0C" w14:textId="77777777" w:rsidR="00606E5D" w:rsidRPr="00606E5D" w:rsidRDefault="00606E5D" w:rsidP="00606E5D">
      <w:pPr>
        <w:rPr>
          <w:b/>
          <w:bCs/>
        </w:rPr>
      </w:pPr>
      <w:r w:rsidRPr="00606E5D">
        <w:rPr>
          <w:b/>
          <w:bCs/>
        </w:rPr>
        <w:t>Rozwijamy program Czyste Powietrze. Wprowadzamy korzystne zmiany</w:t>
      </w:r>
    </w:p>
    <w:p w14:paraId="58DBED2D" w14:textId="77777777" w:rsidR="00606E5D" w:rsidRPr="00606E5D" w:rsidRDefault="00606E5D" w:rsidP="00606E5D">
      <w:pPr>
        <w:rPr>
          <w:lang w:val="en-US"/>
        </w:rPr>
      </w:pPr>
      <w:r w:rsidRPr="00606E5D">
        <w:rPr>
          <w:lang w:val="en-US"/>
        </w:rPr>
        <w:pict w14:anchorId="578DC498">
          <v:rect id="_x0000_i1051" style="width:0;height:.75pt" o:hralign="center" o:hrstd="t" o:hr="t" fillcolor="#a0a0a0" stroked="f"/>
        </w:pict>
      </w:r>
    </w:p>
    <w:p w14:paraId="0826C8DE" w14:textId="1ED84E3C" w:rsidR="00606E5D" w:rsidRPr="00606E5D" w:rsidRDefault="00606E5D" w:rsidP="00606E5D">
      <w:pPr>
        <w:rPr>
          <w:lang w:val="en-US"/>
        </w:rPr>
      </w:pPr>
      <w:r w:rsidRPr="00606E5D">
        <w:rPr>
          <w:lang w:val="en-US"/>
        </w:rPr>
        <w:drawing>
          <wp:inline distT="0" distB="0" distL="0" distR="0" wp14:anchorId="74BBE9CF" wp14:editId="2F85108A">
            <wp:extent cx="5972810" cy="3359785"/>
            <wp:effectExtent l="0" t="0" r="8890" b="0"/>
            <wp:docPr id="1435742616" name="Obraz 8" descr="komunikat-niebie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komunikat-niebiesk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72810" cy="3359785"/>
                    </a:xfrm>
                    <a:prstGeom prst="rect">
                      <a:avLst/>
                    </a:prstGeom>
                    <a:noFill/>
                    <a:ln>
                      <a:noFill/>
                    </a:ln>
                  </pic:spPr>
                </pic:pic>
              </a:graphicData>
            </a:graphic>
          </wp:inline>
        </w:drawing>
      </w:r>
    </w:p>
    <w:p w14:paraId="52F4A73E" w14:textId="77777777" w:rsidR="00606E5D" w:rsidRPr="00606E5D" w:rsidRDefault="00606E5D" w:rsidP="00606E5D">
      <w:pPr>
        <w:rPr>
          <w:b/>
          <w:bCs/>
          <w:lang w:val="en-US"/>
        </w:rPr>
      </w:pPr>
      <w:proofErr w:type="spellStart"/>
      <w:r w:rsidRPr="00606E5D">
        <w:rPr>
          <w:b/>
          <w:bCs/>
          <w:lang w:val="en-US"/>
        </w:rPr>
        <w:t>Opublikowano</w:t>
      </w:r>
      <w:proofErr w:type="spellEnd"/>
      <w:r w:rsidRPr="00606E5D">
        <w:rPr>
          <w:b/>
          <w:bCs/>
          <w:lang w:val="en-US"/>
        </w:rPr>
        <w:t>: 20.07.2026</w:t>
      </w:r>
    </w:p>
    <w:p w14:paraId="0EC0D104" w14:textId="02685796" w:rsidR="00606E5D" w:rsidRPr="00606E5D" w:rsidRDefault="00606E5D" w:rsidP="00606E5D">
      <w:pPr>
        <w:rPr>
          <w:lang w:val="en-US"/>
        </w:rPr>
      </w:pPr>
      <w:r w:rsidRPr="00606E5D">
        <w:rPr>
          <w:lang w:val="en-US"/>
        </w:rPr>
        <w:drawing>
          <wp:inline distT="0" distB="0" distL="0" distR="0" wp14:anchorId="6805AE4C" wp14:editId="59CC01A7">
            <wp:extent cx="5715000" cy="990600"/>
            <wp:effectExtent l="0" t="0" r="0" b="0"/>
            <wp:docPr id="1061511445" name="Obraz 7" descr="Ciąg znaków Feniks z K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iąg znaków Feniks z KP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990600"/>
                    </a:xfrm>
                    <a:prstGeom prst="rect">
                      <a:avLst/>
                    </a:prstGeom>
                    <a:noFill/>
                    <a:ln>
                      <a:noFill/>
                    </a:ln>
                  </pic:spPr>
                </pic:pic>
              </a:graphicData>
            </a:graphic>
          </wp:inline>
        </w:drawing>
      </w:r>
    </w:p>
    <w:p w14:paraId="161F319D" w14:textId="77777777" w:rsidR="00606E5D" w:rsidRPr="00606E5D" w:rsidRDefault="00606E5D" w:rsidP="00606E5D">
      <w:r w:rsidRPr="00606E5D">
        <w:rPr>
          <w:b/>
          <w:bCs/>
        </w:rPr>
        <w:t>Od 20 lipca 2026 r. wprowadzamy pakiet korzystnych zmian w programie Czyste Powietrze. Oznacza to łatwiejszy dostęp do dotacji dla większej grupy osób. Niezmienna pozostaje dbałość o bezpieczeństwo beneficjentów programu i wysoką jakość realizowanych inwestycji.</w:t>
      </w:r>
    </w:p>
    <w:p w14:paraId="45BF1F7D" w14:textId="77777777" w:rsidR="00606E5D" w:rsidRPr="00606E5D" w:rsidRDefault="00606E5D" w:rsidP="00606E5D">
      <w:pPr>
        <w:numPr>
          <w:ilvl w:val="0"/>
          <w:numId w:val="1"/>
        </w:numPr>
      </w:pPr>
    </w:p>
    <w:p w14:paraId="5027D4E0" w14:textId="77777777" w:rsidR="00606E5D" w:rsidRPr="00606E5D" w:rsidRDefault="00606E5D" w:rsidP="00606E5D">
      <w:pPr>
        <w:numPr>
          <w:ilvl w:val="1"/>
          <w:numId w:val="1"/>
        </w:numPr>
      </w:pPr>
      <w:r w:rsidRPr="00606E5D">
        <w:rPr>
          <w:b/>
          <w:bCs/>
        </w:rPr>
        <w:t>Nowe zasady obowiązują dla wniosków o dofinansowanie składanych od 20 lipca 2026 r.</w:t>
      </w:r>
    </w:p>
    <w:p w14:paraId="231E86BE" w14:textId="77777777" w:rsidR="00606E5D" w:rsidRPr="00606E5D" w:rsidRDefault="00606E5D" w:rsidP="00606E5D">
      <w:pPr>
        <w:numPr>
          <w:ilvl w:val="1"/>
          <w:numId w:val="1"/>
        </w:numPr>
      </w:pPr>
      <w:r w:rsidRPr="00606E5D">
        <w:rPr>
          <w:b/>
          <w:bCs/>
        </w:rPr>
        <w:t>Zmiany są efektem konsultacji społecznych, w których uwagi i propozycje zmian zgłosili m.in. właściciele domów, gminy, operatorzy, wojewódzkie fundusze ochrony środowiska i gospodarki wodnej oraz przedstawiciele branży wykonawców. </w:t>
      </w:r>
    </w:p>
    <w:p w14:paraId="6523FA0B" w14:textId="77777777" w:rsidR="00606E5D" w:rsidRPr="00606E5D" w:rsidRDefault="00606E5D" w:rsidP="00606E5D">
      <w:pPr>
        <w:rPr>
          <w:lang w:val="en-US"/>
        </w:rPr>
      </w:pPr>
      <w:proofErr w:type="spellStart"/>
      <w:r w:rsidRPr="00606E5D">
        <w:rPr>
          <w:b/>
          <w:bCs/>
          <w:lang w:val="en-US"/>
        </w:rPr>
        <w:t>Najważniejsze</w:t>
      </w:r>
      <w:proofErr w:type="spellEnd"/>
      <w:r w:rsidRPr="00606E5D">
        <w:rPr>
          <w:b/>
          <w:bCs/>
          <w:lang w:val="en-US"/>
        </w:rPr>
        <w:t xml:space="preserve"> </w:t>
      </w:r>
      <w:proofErr w:type="spellStart"/>
      <w:r w:rsidRPr="00606E5D">
        <w:rPr>
          <w:b/>
          <w:bCs/>
          <w:lang w:val="en-US"/>
        </w:rPr>
        <w:t>zmiany</w:t>
      </w:r>
      <w:proofErr w:type="spellEnd"/>
      <w:r w:rsidRPr="00606E5D">
        <w:rPr>
          <w:b/>
          <w:bCs/>
          <w:lang w:val="en-US"/>
        </w:rPr>
        <w:t xml:space="preserve"> </w:t>
      </w:r>
      <w:proofErr w:type="spellStart"/>
      <w:r w:rsidRPr="00606E5D">
        <w:rPr>
          <w:b/>
          <w:bCs/>
          <w:lang w:val="en-US"/>
        </w:rPr>
        <w:t>dotyczą</w:t>
      </w:r>
      <w:proofErr w:type="spellEnd"/>
      <w:r w:rsidRPr="00606E5D">
        <w:rPr>
          <w:b/>
          <w:bCs/>
          <w:lang w:val="en-US"/>
        </w:rPr>
        <w:t>:</w:t>
      </w:r>
    </w:p>
    <w:p w14:paraId="303C5BBA" w14:textId="77777777" w:rsidR="00606E5D" w:rsidRPr="00606E5D" w:rsidRDefault="00606E5D" w:rsidP="00606E5D">
      <w:pPr>
        <w:numPr>
          <w:ilvl w:val="0"/>
          <w:numId w:val="2"/>
        </w:numPr>
        <w:rPr>
          <w:lang w:val="en-US"/>
        </w:rPr>
      </w:pPr>
      <w:proofErr w:type="spellStart"/>
      <w:r w:rsidRPr="00606E5D">
        <w:rPr>
          <w:lang w:val="en-US"/>
        </w:rPr>
        <w:t>zasad</w:t>
      </w:r>
      <w:proofErr w:type="spellEnd"/>
      <w:r w:rsidRPr="00606E5D">
        <w:rPr>
          <w:lang w:val="en-US"/>
        </w:rPr>
        <w:t xml:space="preserve"> </w:t>
      </w:r>
      <w:proofErr w:type="spellStart"/>
      <w:r w:rsidRPr="00606E5D">
        <w:rPr>
          <w:lang w:val="en-US"/>
        </w:rPr>
        <w:t>własności</w:t>
      </w:r>
      <w:proofErr w:type="spellEnd"/>
      <w:r w:rsidRPr="00606E5D">
        <w:rPr>
          <w:lang w:val="en-US"/>
        </w:rPr>
        <w:t>,</w:t>
      </w:r>
    </w:p>
    <w:p w14:paraId="1697BF59" w14:textId="77777777" w:rsidR="00606E5D" w:rsidRPr="00606E5D" w:rsidRDefault="00606E5D" w:rsidP="00606E5D">
      <w:pPr>
        <w:numPr>
          <w:ilvl w:val="0"/>
          <w:numId w:val="2"/>
        </w:numPr>
        <w:rPr>
          <w:lang w:val="en-US"/>
        </w:rPr>
      </w:pPr>
      <w:proofErr w:type="spellStart"/>
      <w:r w:rsidRPr="00606E5D">
        <w:rPr>
          <w:lang w:val="en-US"/>
        </w:rPr>
        <w:t>wysokości</w:t>
      </w:r>
      <w:proofErr w:type="spellEnd"/>
      <w:r w:rsidRPr="00606E5D">
        <w:rPr>
          <w:lang w:val="en-US"/>
        </w:rPr>
        <w:t xml:space="preserve"> </w:t>
      </w:r>
      <w:proofErr w:type="spellStart"/>
      <w:r w:rsidRPr="00606E5D">
        <w:rPr>
          <w:lang w:val="en-US"/>
        </w:rPr>
        <w:t>dotacji</w:t>
      </w:r>
      <w:proofErr w:type="spellEnd"/>
      <w:r w:rsidRPr="00606E5D">
        <w:rPr>
          <w:lang w:val="en-US"/>
        </w:rPr>
        <w:t>,</w:t>
      </w:r>
    </w:p>
    <w:p w14:paraId="56946577" w14:textId="77777777" w:rsidR="00606E5D" w:rsidRPr="00606E5D" w:rsidRDefault="00606E5D" w:rsidP="00606E5D">
      <w:pPr>
        <w:numPr>
          <w:ilvl w:val="0"/>
          <w:numId w:val="2"/>
        </w:numPr>
      </w:pPr>
      <w:r w:rsidRPr="00606E5D">
        <w:lastRenderedPageBreak/>
        <w:t>okresu realizacji prac objętych zaliczką,</w:t>
      </w:r>
    </w:p>
    <w:p w14:paraId="16055F8C" w14:textId="77777777" w:rsidR="00606E5D" w:rsidRPr="00606E5D" w:rsidRDefault="00606E5D" w:rsidP="00606E5D">
      <w:pPr>
        <w:numPr>
          <w:ilvl w:val="0"/>
          <w:numId w:val="2"/>
        </w:numPr>
        <w:rPr>
          <w:lang w:val="en-US"/>
        </w:rPr>
      </w:pPr>
      <w:proofErr w:type="spellStart"/>
      <w:r w:rsidRPr="00606E5D">
        <w:rPr>
          <w:lang w:val="en-US"/>
        </w:rPr>
        <w:t>łatwiejszego</w:t>
      </w:r>
      <w:proofErr w:type="spellEnd"/>
      <w:r w:rsidRPr="00606E5D">
        <w:rPr>
          <w:lang w:val="en-US"/>
        </w:rPr>
        <w:t xml:space="preserve"> </w:t>
      </w:r>
      <w:proofErr w:type="spellStart"/>
      <w:r w:rsidRPr="00606E5D">
        <w:rPr>
          <w:lang w:val="en-US"/>
        </w:rPr>
        <w:t>pozyskania</w:t>
      </w:r>
      <w:proofErr w:type="spellEnd"/>
      <w:r w:rsidRPr="00606E5D">
        <w:rPr>
          <w:lang w:val="en-US"/>
        </w:rPr>
        <w:t xml:space="preserve"> </w:t>
      </w:r>
      <w:proofErr w:type="spellStart"/>
      <w:r w:rsidRPr="00606E5D">
        <w:rPr>
          <w:lang w:val="en-US"/>
        </w:rPr>
        <w:t>dokumentacji</w:t>
      </w:r>
      <w:proofErr w:type="spellEnd"/>
      <w:r w:rsidRPr="00606E5D">
        <w:rPr>
          <w:lang w:val="en-US"/>
        </w:rPr>
        <w:t>,</w:t>
      </w:r>
    </w:p>
    <w:p w14:paraId="672F451D" w14:textId="77777777" w:rsidR="00606E5D" w:rsidRPr="00606E5D" w:rsidRDefault="00606E5D" w:rsidP="00606E5D">
      <w:pPr>
        <w:numPr>
          <w:ilvl w:val="0"/>
          <w:numId w:val="2"/>
        </w:numPr>
      </w:pPr>
      <w:r w:rsidRPr="00606E5D">
        <w:t>urządzeń grzewczych w zakresie ogrzewania elektrycznego.</w:t>
      </w:r>
    </w:p>
    <w:p w14:paraId="1B7B5FC6" w14:textId="77777777" w:rsidR="00606E5D" w:rsidRPr="00606E5D" w:rsidRDefault="00606E5D" w:rsidP="00606E5D">
      <w:r w:rsidRPr="00606E5D">
        <w:rPr>
          <w:b/>
          <w:bCs/>
        </w:rPr>
        <w:t>Łatwiejszy dostęp do programu</w:t>
      </w:r>
    </w:p>
    <w:p w14:paraId="6715FA88" w14:textId="77777777" w:rsidR="00606E5D" w:rsidRPr="00606E5D" w:rsidRDefault="00606E5D" w:rsidP="00606E5D">
      <w:r w:rsidRPr="00606E5D">
        <w:t>Rozszerzono katalog wyjątków od zasady posiadania nieruchomości przez co najmniej trzy lata. Wyjątek obejmie także właścicieli i współwłaścicieli nieruchomości nabytej w drodze </w:t>
      </w:r>
      <w:r w:rsidRPr="00606E5D">
        <w:rPr>
          <w:b/>
          <w:bCs/>
        </w:rPr>
        <w:t>zasiedzenia</w:t>
      </w:r>
      <w:r w:rsidRPr="00606E5D">
        <w:t>. Pozostaje jak dotychczas wyjątek nabycia nieruchomości w drodze spadku.</w:t>
      </w:r>
    </w:p>
    <w:p w14:paraId="513917CF" w14:textId="77777777" w:rsidR="00606E5D" w:rsidRPr="00606E5D" w:rsidRDefault="00606E5D" w:rsidP="00606E5D">
      <w:r w:rsidRPr="00606E5D">
        <w:t>Zasada posiadania nieruchomości przez co najmniej rok dotyczy osób, które posiadają minimum </w:t>
      </w:r>
      <w:r w:rsidRPr="00606E5D">
        <w:rPr>
          <w:b/>
          <w:bCs/>
        </w:rPr>
        <w:t>50% udziałów</w:t>
      </w:r>
      <w:r w:rsidRPr="00606E5D">
        <w:t> w nieruchomości i nabyły ją:</w:t>
      </w:r>
    </w:p>
    <w:p w14:paraId="16534954" w14:textId="77777777" w:rsidR="00606E5D" w:rsidRPr="00606E5D" w:rsidRDefault="00606E5D" w:rsidP="00606E5D">
      <w:pPr>
        <w:numPr>
          <w:ilvl w:val="0"/>
          <w:numId w:val="3"/>
        </w:numPr>
      </w:pPr>
      <w:r w:rsidRPr="00606E5D">
        <w:t>w drodze </w:t>
      </w:r>
      <w:r w:rsidRPr="00606E5D">
        <w:rPr>
          <w:b/>
          <w:bCs/>
        </w:rPr>
        <w:t>zakupu</w:t>
      </w:r>
      <w:r w:rsidRPr="00606E5D">
        <w:t>, np. z rynku wtórnego</w:t>
      </w:r>
    </w:p>
    <w:p w14:paraId="1430C8ED" w14:textId="77777777" w:rsidR="00606E5D" w:rsidRPr="00606E5D" w:rsidRDefault="00606E5D" w:rsidP="00606E5D">
      <w:pPr>
        <w:numPr>
          <w:ilvl w:val="0"/>
          <w:numId w:val="4"/>
        </w:numPr>
      </w:pPr>
      <w:r w:rsidRPr="00606E5D">
        <w:t>od rodziców, dziadków lub innych wstępnych w drodze </w:t>
      </w:r>
      <w:r w:rsidRPr="00606E5D">
        <w:rPr>
          <w:b/>
          <w:bCs/>
        </w:rPr>
        <w:t>darowizny</w:t>
      </w:r>
      <w:r w:rsidRPr="00606E5D">
        <w:t> lub </w:t>
      </w:r>
      <w:r w:rsidRPr="00606E5D">
        <w:rPr>
          <w:b/>
          <w:bCs/>
        </w:rPr>
        <w:t>umowy o dożywocie</w:t>
      </w:r>
      <w:r w:rsidRPr="00606E5D">
        <w:t>.</w:t>
      </w:r>
    </w:p>
    <w:p w14:paraId="2E98E26C" w14:textId="77777777" w:rsidR="00606E5D" w:rsidRPr="00606E5D" w:rsidRDefault="00606E5D" w:rsidP="00606E5D">
      <w:r w:rsidRPr="00606E5D">
        <w:t>Doprecyzowano również zasady dotyczące lokali powstałych w wyniku podziału lub połączenia.</w:t>
      </w:r>
    </w:p>
    <w:p w14:paraId="3A331729" w14:textId="77777777" w:rsidR="00606E5D" w:rsidRPr="00606E5D" w:rsidRDefault="00606E5D" w:rsidP="00606E5D">
      <w:r w:rsidRPr="00606E5D">
        <w:t>Tak jak dotychczas, dofinansowanie można otrzymać tylko na </w:t>
      </w:r>
      <w:r w:rsidRPr="00606E5D">
        <w:rPr>
          <w:b/>
          <w:bCs/>
        </w:rPr>
        <w:t>jedną nieruchomość</w:t>
      </w:r>
      <w:r w:rsidRPr="00606E5D">
        <w:t>.</w:t>
      </w:r>
    </w:p>
    <w:p w14:paraId="550C5623" w14:textId="77777777" w:rsidR="00606E5D" w:rsidRPr="00606E5D" w:rsidRDefault="00606E5D" w:rsidP="00606E5D">
      <w:r w:rsidRPr="00606E5D">
        <w:rPr>
          <w:b/>
          <w:bCs/>
        </w:rPr>
        <w:t>Wyższe dotacje na termomodernizację</w:t>
      </w:r>
    </w:p>
    <w:p w14:paraId="5551592D" w14:textId="77777777" w:rsidR="00606E5D" w:rsidRPr="00606E5D" w:rsidRDefault="00606E5D" w:rsidP="00606E5D">
      <w:r w:rsidRPr="00606E5D">
        <w:t>Maksymalne stawki dotacji na wybrane prace termomodernizacyjne wzrosły o 10%. Dotyczą ocieplenia ścian i innych przegród budowlanych oraz wymiany okien, drzwi zewnętrznych i bram garażowych.</w:t>
      </w:r>
    </w:p>
    <w:p w14:paraId="2CD6F2BC" w14:textId="628DD7F1" w:rsidR="00606E5D" w:rsidRPr="00606E5D" w:rsidRDefault="00606E5D" w:rsidP="00606E5D">
      <w:pPr>
        <w:rPr>
          <w:lang w:val="en-US"/>
        </w:rPr>
      </w:pPr>
      <w:r w:rsidRPr="00606E5D">
        <w:rPr>
          <w:lang w:val="en-US"/>
        </w:rPr>
        <w:drawing>
          <wp:inline distT="0" distB="0" distL="0" distR="0" wp14:anchorId="3CFC7C71" wp14:editId="256D060D">
            <wp:extent cx="5715000" cy="2247900"/>
            <wp:effectExtent l="0" t="0" r="0" b="0"/>
            <wp:docPr id="1752768161" name="Obraz 6" descr="nowe maksymalne jednostkowe kwoty dot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nowe maksymalne jednostkowe kwoty dotacj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2247900"/>
                    </a:xfrm>
                    <a:prstGeom prst="rect">
                      <a:avLst/>
                    </a:prstGeom>
                    <a:noFill/>
                    <a:ln>
                      <a:noFill/>
                    </a:ln>
                  </pic:spPr>
                </pic:pic>
              </a:graphicData>
            </a:graphic>
          </wp:inline>
        </w:drawing>
      </w:r>
    </w:p>
    <w:p w14:paraId="4D2AD28A" w14:textId="77777777" w:rsidR="00606E5D" w:rsidRPr="00606E5D" w:rsidRDefault="00606E5D" w:rsidP="00606E5D">
      <w:r w:rsidRPr="00606E5D">
        <w:rPr>
          <w:b/>
          <w:bCs/>
        </w:rPr>
        <w:t>Dłuższy czas na zakończenie inwestycji</w:t>
      </w:r>
    </w:p>
    <w:p w14:paraId="7EDBD378" w14:textId="77777777" w:rsidR="00606E5D" w:rsidRPr="00606E5D" w:rsidRDefault="00606E5D" w:rsidP="00606E5D">
      <w:r w:rsidRPr="00606E5D">
        <w:t>Beneficjenci korzystający z prefinansowania zyskali więcej czasu na realizację prac objętych zaliczką  – 180 dni (przed zmianą 120). Z wydłużonego terminu mogą skorzystać także osoby, które podpisały już umowę w naborze prowadzonym od 31 marca 2025 r. W tym celu trzeba zmienić umowę. Dodatkowo, tak jak dotychczas, mają kolejne 30 dni na wniosek o płatność rozliczający zaliczkę.</w:t>
      </w:r>
    </w:p>
    <w:p w14:paraId="524C8C8B" w14:textId="77777777" w:rsidR="00606E5D" w:rsidRPr="00606E5D" w:rsidRDefault="00606E5D" w:rsidP="00606E5D">
      <w:r w:rsidRPr="00606E5D">
        <w:rPr>
          <w:b/>
          <w:bCs/>
        </w:rPr>
        <w:t>Prostsze potwierdzanie wykonania inwestycji</w:t>
      </w:r>
    </w:p>
    <w:p w14:paraId="5DB88457" w14:textId="77777777" w:rsidR="00606E5D" w:rsidRPr="00606E5D" w:rsidRDefault="00606E5D" w:rsidP="00606E5D">
      <w:r w:rsidRPr="00606E5D">
        <w:lastRenderedPageBreak/>
        <w:t>Od 20 lipca więcej specjalistów może potwierdzać dokumenty techniczne, co ułatwi kompletowanie dokumentów niezbędnych do otrzymania dotacji i przyspieszy rozliczanie inwestycji.</w:t>
      </w:r>
    </w:p>
    <w:p w14:paraId="0AB9E144" w14:textId="77777777" w:rsidR="00606E5D" w:rsidRPr="00606E5D" w:rsidRDefault="00606E5D" w:rsidP="00606E5D">
      <w:pPr>
        <w:rPr>
          <w:lang w:val="en-US"/>
        </w:rPr>
      </w:pPr>
      <w:proofErr w:type="spellStart"/>
      <w:r w:rsidRPr="00606E5D">
        <w:rPr>
          <w:lang w:val="en-US"/>
        </w:rPr>
        <w:t>Dokumenty</w:t>
      </w:r>
      <w:proofErr w:type="spellEnd"/>
      <w:r w:rsidRPr="00606E5D">
        <w:rPr>
          <w:lang w:val="en-US"/>
        </w:rPr>
        <w:t xml:space="preserve"> </w:t>
      </w:r>
      <w:proofErr w:type="spellStart"/>
      <w:r w:rsidRPr="00606E5D">
        <w:rPr>
          <w:lang w:val="en-US"/>
        </w:rPr>
        <w:t>potwierdzające</w:t>
      </w:r>
      <w:proofErr w:type="spellEnd"/>
      <w:r w:rsidRPr="00606E5D">
        <w:rPr>
          <w:lang w:val="en-US"/>
        </w:rPr>
        <w:t>:</w:t>
      </w:r>
    </w:p>
    <w:p w14:paraId="18039126" w14:textId="77777777" w:rsidR="00606E5D" w:rsidRPr="00606E5D" w:rsidRDefault="00606E5D" w:rsidP="00606E5D">
      <w:pPr>
        <w:numPr>
          <w:ilvl w:val="0"/>
          <w:numId w:val="5"/>
        </w:numPr>
      </w:pPr>
      <w:r w:rsidRPr="00606E5D">
        <w:t>trwałe odłączenie starego źródła ciepła,</w:t>
      </w:r>
    </w:p>
    <w:p w14:paraId="5BE40F0F" w14:textId="77777777" w:rsidR="00606E5D" w:rsidRPr="00606E5D" w:rsidRDefault="00606E5D" w:rsidP="00606E5D">
      <w:pPr>
        <w:numPr>
          <w:ilvl w:val="0"/>
          <w:numId w:val="5"/>
        </w:numPr>
        <w:rPr>
          <w:lang w:val="en-US"/>
        </w:rPr>
      </w:pPr>
      <w:proofErr w:type="spellStart"/>
      <w:r w:rsidRPr="00606E5D">
        <w:rPr>
          <w:lang w:val="en-US"/>
        </w:rPr>
        <w:t>dostosowanie</w:t>
      </w:r>
      <w:proofErr w:type="spellEnd"/>
      <w:r w:rsidRPr="00606E5D">
        <w:rPr>
          <w:lang w:val="en-US"/>
        </w:rPr>
        <w:t xml:space="preserve"> </w:t>
      </w:r>
      <w:proofErr w:type="spellStart"/>
      <w:r w:rsidRPr="00606E5D">
        <w:rPr>
          <w:lang w:val="en-US"/>
        </w:rPr>
        <w:t>przewodów</w:t>
      </w:r>
      <w:proofErr w:type="spellEnd"/>
      <w:r w:rsidRPr="00606E5D">
        <w:rPr>
          <w:lang w:val="en-US"/>
        </w:rPr>
        <w:t xml:space="preserve"> </w:t>
      </w:r>
      <w:proofErr w:type="spellStart"/>
      <w:r w:rsidRPr="00606E5D">
        <w:rPr>
          <w:lang w:val="en-US"/>
        </w:rPr>
        <w:t>kominowych</w:t>
      </w:r>
      <w:proofErr w:type="spellEnd"/>
      <w:r w:rsidRPr="00606E5D">
        <w:rPr>
          <w:lang w:val="en-US"/>
        </w:rPr>
        <w:t>,</w:t>
      </w:r>
    </w:p>
    <w:p w14:paraId="57228B63" w14:textId="77777777" w:rsidR="00606E5D" w:rsidRPr="00606E5D" w:rsidRDefault="00606E5D" w:rsidP="00606E5D">
      <w:r w:rsidRPr="00606E5D">
        <w:t>mogą wystawiać nie tylko mistrzowie kominiarscy, lecz także osoby z odpowiednimi uprawnieniami budowlanymi.</w:t>
      </w:r>
    </w:p>
    <w:p w14:paraId="634A461B" w14:textId="77777777" w:rsidR="00606E5D" w:rsidRPr="00606E5D" w:rsidRDefault="00606E5D" w:rsidP="00606E5D">
      <w:r w:rsidRPr="00606E5D">
        <w:rPr>
          <w:b/>
          <w:bCs/>
        </w:rPr>
        <w:t>Ułatwienie w składaniu wniosków</w:t>
      </w:r>
    </w:p>
    <w:p w14:paraId="33705E4A" w14:textId="77777777" w:rsidR="00606E5D" w:rsidRPr="00606E5D" w:rsidRDefault="00606E5D" w:rsidP="00606E5D">
      <w:r w:rsidRPr="00606E5D">
        <w:t>Korzystający z pomocy operatorów wnioskodawcy mogą teraz sami przygotować robocze wersje wniosków w Generatorze Wniosków o Dofinansowanie (GWD).</w:t>
      </w:r>
    </w:p>
    <w:p w14:paraId="78DE069C" w14:textId="77777777" w:rsidR="00606E5D" w:rsidRPr="00606E5D" w:rsidRDefault="00606E5D" w:rsidP="00606E5D">
      <w:r w:rsidRPr="00606E5D">
        <w:rPr>
          <w:b/>
          <w:bCs/>
        </w:rPr>
        <w:t>Bardziej efektywne źródła ciepła</w:t>
      </w:r>
      <w:r w:rsidRPr="00606E5D">
        <w:t> </w:t>
      </w:r>
      <w:r w:rsidRPr="00606E5D">
        <w:rPr>
          <w:b/>
          <w:bCs/>
        </w:rPr>
        <w:t>i lista ZUM</w:t>
      </w:r>
    </w:p>
    <w:p w14:paraId="78B084AE" w14:textId="77777777" w:rsidR="00606E5D" w:rsidRPr="00606E5D" w:rsidRDefault="00606E5D" w:rsidP="00606E5D">
      <w:r w:rsidRPr="00606E5D">
        <w:t>Doprecyzowano zasady korzystania z Listy ZUM. Jeżeli urządzenie zostało zawieszone lub usunięte z listy ZUM przed wystawieniem faktury (końcowej), jest kwalifikowane do dofinansowania, o ile było na liście ZUM w dniu wystawienia faktury zaliczkowej na zakup/montaż tego urządzenia, a do rozliczenia przedstawiona zostanie faktura (końcowa) na to urządzenie.</w:t>
      </w:r>
    </w:p>
    <w:p w14:paraId="26DF0AB6" w14:textId="77777777" w:rsidR="00606E5D" w:rsidRPr="00606E5D" w:rsidRDefault="00606E5D" w:rsidP="00606E5D">
      <w:r w:rsidRPr="00606E5D">
        <w:t>Od 2027 r. program będzie wspierał wyłącznie najbardziej efektywne energetycznie źródła ciepła. Program nie będzie już wspierał ogrzewania elektrycznego innego niż pompy ciepła. Oznacza to, że dofinansowanie nie obejmie np. mat grzewczych, kotłów elektrycznych, grzejników elektrycznych.</w:t>
      </w:r>
    </w:p>
    <w:p w14:paraId="55AAB990" w14:textId="77777777" w:rsidR="00606E5D" w:rsidRPr="00606E5D" w:rsidRDefault="00606E5D" w:rsidP="00606E5D">
      <w:r w:rsidRPr="00606E5D">
        <w:rPr>
          <w:b/>
          <w:bCs/>
        </w:rPr>
        <w:t>Odpowiedzi na najczęściej zadawane pytania: </w:t>
      </w:r>
      <w:r w:rsidRPr="00606E5D">
        <w:rPr>
          <w:b/>
          <w:bCs/>
          <w:lang w:val="en-US"/>
        </w:rPr>
        <w:fldChar w:fldCharType="begin"/>
      </w:r>
      <w:r w:rsidRPr="00606E5D">
        <w:rPr>
          <w:b/>
          <w:bCs/>
        </w:rPr>
        <w:instrText>HYPERLINK "https://www.wfosgw.poznan.pl/aktualnosci-z-funduszu/qa-dot-zmian-w-programie-czyste-powietrze-od-20-lipca-2026-r/"</w:instrText>
      </w:r>
      <w:r w:rsidRPr="00606E5D">
        <w:rPr>
          <w:b/>
          <w:bCs/>
          <w:lang w:val="en-US"/>
        </w:rPr>
      </w:r>
      <w:r w:rsidRPr="00606E5D">
        <w:rPr>
          <w:b/>
          <w:bCs/>
          <w:lang w:val="en-US"/>
        </w:rPr>
        <w:fldChar w:fldCharType="separate"/>
      </w:r>
      <w:r w:rsidRPr="00606E5D">
        <w:rPr>
          <w:rStyle w:val="Hipercze"/>
          <w:b/>
          <w:bCs/>
        </w:rPr>
        <w:t>Q&amp;A</w:t>
      </w:r>
      <w:r w:rsidRPr="00606E5D">
        <w:fldChar w:fldCharType="end"/>
      </w:r>
    </w:p>
    <w:p w14:paraId="119DB42A" w14:textId="77777777" w:rsidR="00606E5D" w:rsidRPr="00606E5D" w:rsidRDefault="00606E5D" w:rsidP="00606E5D">
      <w:r w:rsidRPr="00606E5D">
        <w:rPr>
          <w:b/>
          <w:bCs/>
        </w:rPr>
        <w:t>Fundamenty reformy programu bez zmian</w:t>
      </w:r>
    </w:p>
    <w:p w14:paraId="6A15637B" w14:textId="77777777" w:rsidR="00606E5D" w:rsidRPr="00606E5D" w:rsidRDefault="00606E5D" w:rsidP="00606E5D">
      <w:r w:rsidRPr="00606E5D">
        <w:t>Reforma programu, obowiązująca od 31 marca 2025 r., uporządkowała zasady wsparcia i wprowadziła rozwiązania zwiększające bezpieczeństwo beneficjentów.</w:t>
      </w:r>
    </w:p>
    <w:p w14:paraId="519656AD" w14:textId="77777777" w:rsidR="00606E5D" w:rsidRPr="00606E5D" w:rsidRDefault="00606E5D" w:rsidP="00606E5D">
      <w:pPr>
        <w:rPr>
          <w:lang w:val="en-US"/>
        </w:rPr>
      </w:pPr>
      <w:r w:rsidRPr="00606E5D">
        <w:rPr>
          <w:lang w:val="en-US"/>
        </w:rPr>
        <w:t xml:space="preserve">Nadal </w:t>
      </w:r>
      <w:proofErr w:type="spellStart"/>
      <w:r w:rsidRPr="00606E5D">
        <w:rPr>
          <w:lang w:val="en-US"/>
        </w:rPr>
        <w:t>obowiązują</w:t>
      </w:r>
      <w:proofErr w:type="spellEnd"/>
      <w:r w:rsidRPr="00606E5D">
        <w:rPr>
          <w:lang w:val="en-US"/>
        </w:rPr>
        <w:t>:</w:t>
      </w:r>
    </w:p>
    <w:p w14:paraId="0F880165" w14:textId="77777777" w:rsidR="00606E5D" w:rsidRPr="00606E5D" w:rsidRDefault="00606E5D" w:rsidP="00606E5D">
      <w:pPr>
        <w:numPr>
          <w:ilvl w:val="0"/>
          <w:numId w:val="6"/>
        </w:numPr>
        <w:rPr>
          <w:lang w:val="en-US"/>
        </w:rPr>
      </w:pPr>
      <w:proofErr w:type="spellStart"/>
      <w:r w:rsidRPr="00606E5D">
        <w:rPr>
          <w:lang w:val="en-US"/>
        </w:rPr>
        <w:t>audyt</w:t>
      </w:r>
      <w:proofErr w:type="spellEnd"/>
      <w:r w:rsidRPr="00606E5D">
        <w:rPr>
          <w:lang w:val="en-US"/>
        </w:rPr>
        <w:t xml:space="preserve"> </w:t>
      </w:r>
      <w:proofErr w:type="spellStart"/>
      <w:r w:rsidRPr="00606E5D">
        <w:rPr>
          <w:lang w:val="en-US"/>
        </w:rPr>
        <w:t>energetyczny</w:t>
      </w:r>
      <w:proofErr w:type="spellEnd"/>
      <w:r w:rsidRPr="00606E5D">
        <w:rPr>
          <w:lang w:val="en-US"/>
        </w:rPr>
        <w:t>,</w:t>
      </w:r>
    </w:p>
    <w:p w14:paraId="6FAA2B4C" w14:textId="77777777" w:rsidR="00606E5D" w:rsidRPr="00606E5D" w:rsidRDefault="00606E5D" w:rsidP="00606E5D">
      <w:pPr>
        <w:numPr>
          <w:ilvl w:val="0"/>
          <w:numId w:val="6"/>
        </w:numPr>
        <w:rPr>
          <w:lang w:val="en-US"/>
        </w:rPr>
      </w:pPr>
      <w:proofErr w:type="spellStart"/>
      <w:r w:rsidRPr="00606E5D">
        <w:rPr>
          <w:lang w:val="en-US"/>
        </w:rPr>
        <w:t>świadectwo</w:t>
      </w:r>
      <w:proofErr w:type="spellEnd"/>
      <w:r w:rsidRPr="00606E5D">
        <w:rPr>
          <w:lang w:val="en-US"/>
        </w:rPr>
        <w:t xml:space="preserve"> </w:t>
      </w:r>
      <w:proofErr w:type="spellStart"/>
      <w:r w:rsidRPr="00606E5D">
        <w:rPr>
          <w:lang w:val="en-US"/>
        </w:rPr>
        <w:t>charakterystyki</w:t>
      </w:r>
      <w:proofErr w:type="spellEnd"/>
      <w:r w:rsidRPr="00606E5D">
        <w:rPr>
          <w:lang w:val="en-US"/>
        </w:rPr>
        <w:t xml:space="preserve"> </w:t>
      </w:r>
      <w:proofErr w:type="spellStart"/>
      <w:r w:rsidRPr="00606E5D">
        <w:rPr>
          <w:lang w:val="en-US"/>
        </w:rPr>
        <w:t>energetycznej</w:t>
      </w:r>
      <w:proofErr w:type="spellEnd"/>
      <w:r w:rsidRPr="00606E5D">
        <w:rPr>
          <w:lang w:val="en-US"/>
        </w:rPr>
        <w:t>,</w:t>
      </w:r>
    </w:p>
    <w:p w14:paraId="6E4BF7DF" w14:textId="77777777" w:rsidR="00606E5D" w:rsidRPr="00606E5D" w:rsidRDefault="00606E5D" w:rsidP="00606E5D">
      <w:pPr>
        <w:numPr>
          <w:ilvl w:val="0"/>
          <w:numId w:val="6"/>
        </w:numPr>
        <w:rPr>
          <w:lang w:val="en-US"/>
        </w:rPr>
      </w:pPr>
      <w:r w:rsidRPr="00606E5D">
        <w:rPr>
          <w:lang w:val="en-US"/>
        </w:rPr>
        <w:t xml:space="preserve">system </w:t>
      </w:r>
      <w:proofErr w:type="spellStart"/>
      <w:r w:rsidRPr="00606E5D">
        <w:rPr>
          <w:lang w:val="en-US"/>
        </w:rPr>
        <w:t>operatorów</w:t>
      </w:r>
      <w:proofErr w:type="spellEnd"/>
      <w:r w:rsidRPr="00606E5D">
        <w:rPr>
          <w:lang w:val="en-US"/>
        </w:rPr>
        <w:t>,</w:t>
      </w:r>
    </w:p>
    <w:p w14:paraId="73710A30" w14:textId="77777777" w:rsidR="00606E5D" w:rsidRPr="00606E5D" w:rsidRDefault="00606E5D" w:rsidP="00606E5D">
      <w:pPr>
        <w:numPr>
          <w:ilvl w:val="0"/>
          <w:numId w:val="6"/>
        </w:numPr>
        <w:rPr>
          <w:lang w:val="en-US"/>
        </w:rPr>
      </w:pPr>
      <w:proofErr w:type="spellStart"/>
      <w:r w:rsidRPr="00606E5D">
        <w:rPr>
          <w:lang w:val="en-US"/>
        </w:rPr>
        <w:t>limity</w:t>
      </w:r>
      <w:proofErr w:type="spellEnd"/>
      <w:r w:rsidRPr="00606E5D">
        <w:rPr>
          <w:lang w:val="en-US"/>
        </w:rPr>
        <w:t xml:space="preserve"> </w:t>
      </w:r>
      <w:proofErr w:type="spellStart"/>
      <w:r w:rsidRPr="00606E5D">
        <w:rPr>
          <w:lang w:val="en-US"/>
        </w:rPr>
        <w:t>kosztów</w:t>
      </w:r>
      <w:proofErr w:type="spellEnd"/>
      <w:r w:rsidRPr="00606E5D">
        <w:rPr>
          <w:lang w:val="en-US"/>
        </w:rPr>
        <w:t xml:space="preserve"> </w:t>
      </w:r>
      <w:proofErr w:type="spellStart"/>
      <w:r w:rsidRPr="00606E5D">
        <w:rPr>
          <w:lang w:val="en-US"/>
        </w:rPr>
        <w:t>kwalifikowanych</w:t>
      </w:r>
      <w:proofErr w:type="spellEnd"/>
      <w:r w:rsidRPr="00606E5D">
        <w:rPr>
          <w:lang w:val="en-US"/>
        </w:rPr>
        <w:t>,</w:t>
      </w:r>
    </w:p>
    <w:p w14:paraId="52A0CE18" w14:textId="77777777" w:rsidR="00606E5D" w:rsidRPr="00606E5D" w:rsidRDefault="00606E5D" w:rsidP="00606E5D">
      <w:pPr>
        <w:numPr>
          <w:ilvl w:val="0"/>
          <w:numId w:val="6"/>
        </w:numPr>
      </w:pPr>
      <w:r w:rsidRPr="00606E5D">
        <w:t>zasada „jeden beneficjent – jeden budynek”,</w:t>
      </w:r>
    </w:p>
    <w:p w14:paraId="7E0F55E4" w14:textId="77777777" w:rsidR="00606E5D" w:rsidRPr="00606E5D" w:rsidRDefault="00606E5D" w:rsidP="00606E5D">
      <w:pPr>
        <w:numPr>
          <w:ilvl w:val="0"/>
          <w:numId w:val="6"/>
        </w:numPr>
      </w:pPr>
      <w:r w:rsidRPr="00606E5D">
        <w:t>brak dotacji do kotłów gazowych,</w:t>
      </w:r>
    </w:p>
    <w:p w14:paraId="2D5F109A" w14:textId="77777777" w:rsidR="00606E5D" w:rsidRPr="00606E5D" w:rsidRDefault="00606E5D" w:rsidP="00606E5D">
      <w:pPr>
        <w:numPr>
          <w:ilvl w:val="0"/>
          <w:numId w:val="6"/>
        </w:numPr>
      </w:pPr>
      <w:r w:rsidRPr="00606E5D">
        <w:t>dotychczasowe poziomy dofinansowania i kryteria dochodowe.</w:t>
      </w:r>
    </w:p>
    <w:p w14:paraId="330CB8B1" w14:textId="77777777" w:rsidR="00606E5D" w:rsidRPr="00606E5D" w:rsidRDefault="00606E5D" w:rsidP="00606E5D">
      <w:r w:rsidRPr="00606E5D">
        <w:t>Program Czyste Powietrze będzie nadal rozwijany przez NFOŚiGW, aby skuteczniej wspierać termomodernizację domów i poprawę jakości powietrza.</w:t>
      </w:r>
    </w:p>
    <w:p w14:paraId="0A16227D" w14:textId="33F92BE1" w:rsidR="00606E5D" w:rsidRPr="00606E5D" w:rsidRDefault="00606E5D" w:rsidP="00606E5D">
      <w:pPr>
        <w:rPr>
          <w:lang w:val="en-US"/>
        </w:rPr>
      </w:pPr>
      <w:r w:rsidRPr="00606E5D">
        <w:rPr>
          <w:lang w:val="en-US"/>
        </w:rPr>
        <w:lastRenderedPageBreak/>
        <w:drawing>
          <wp:inline distT="0" distB="0" distL="0" distR="0" wp14:anchorId="3D3EC4EE" wp14:editId="484FAEFE">
            <wp:extent cx="5715000" cy="1933575"/>
            <wp:effectExtent l="0" t="0" r="0" b="9525"/>
            <wp:docPr id="538162456" name="Obraz 5" descr="Fundusz Modernizacyjny ciąg zna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undusz Modernizacyjny ciąg znakó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1933575"/>
                    </a:xfrm>
                    <a:prstGeom prst="rect">
                      <a:avLst/>
                    </a:prstGeom>
                    <a:noFill/>
                    <a:ln>
                      <a:noFill/>
                    </a:ln>
                  </pic:spPr>
                </pic:pic>
              </a:graphicData>
            </a:graphic>
          </wp:inline>
        </w:drawing>
      </w:r>
    </w:p>
    <w:p w14:paraId="5F0A18A8" w14:textId="77777777" w:rsidR="006D0D7A" w:rsidRDefault="006D0D7A"/>
    <w:sectPr w:rsidR="006D0D7A">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B7111"/>
    <w:multiLevelType w:val="multilevel"/>
    <w:tmpl w:val="D0001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2237A8"/>
    <w:multiLevelType w:val="multilevel"/>
    <w:tmpl w:val="E60A8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070092"/>
    <w:multiLevelType w:val="multilevel"/>
    <w:tmpl w:val="1FB4B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E10EE4"/>
    <w:multiLevelType w:val="multilevel"/>
    <w:tmpl w:val="C426A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017686"/>
    <w:multiLevelType w:val="multilevel"/>
    <w:tmpl w:val="81F65B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D115B4"/>
    <w:multiLevelType w:val="multilevel"/>
    <w:tmpl w:val="ABFEA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2722563">
    <w:abstractNumId w:val="4"/>
  </w:num>
  <w:num w:numId="2" w16cid:durableId="1457873957">
    <w:abstractNumId w:val="0"/>
  </w:num>
  <w:num w:numId="3" w16cid:durableId="273562513">
    <w:abstractNumId w:val="1"/>
  </w:num>
  <w:num w:numId="4" w16cid:durableId="1267079384">
    <w:abstractNumId w:val="3"/>
  </w:num>
  <w:num w:numId="5" w16cid:durableId="2020227635">
    <w:abstractNumId w:val="2"/>
  </w:num>
  <w:num w:numId="6" w16cid:durableId="9323969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E5D"/>
    <w:rsid w:val="00606E5D"/>
    <w:rsid w:val="006D0D7A"/>
    <w:rsid w:val="00DE2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24CBD"/>
  <w15:chartTrackingRefBased/>
  <w15:docId w15:val="{3F10ACA6-0E95-4010-9676-01768EA68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lang w:val="pl-PL"/>
    </w:rPr>
  </w:style>
  <w:style w:type="paragraph" w:styleId="Nagwek1">
    <w:name w:val="heading 1"/>
    <w:basedOn w:val="Normalny"/>
    <w:next w:val="Normalny"/>
    <w:link w:val="Nagwek1Znak"/>
    <w:uiPriority w:val="9"/>
    <w:qFormat/>
    <w:rsid w:val="00606E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06E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06E5D"/>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06E5D"/>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06E5D"/>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06E5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06E5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06E5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06E5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06E5D"/>
    <w:rPr>
      <w:rFonts w:asciiTheme="majorHAnsi" w:eastAsiaTheme="majorEastAsia" w:hAnsiTheme="majorHAnsi" w:cstheme="majorBidi"/>
      <w:color w:val="2F5496" w:themeColor="accent1" w:themeShade="BF"/>
      <w:sz w:val="40"/>
      <w:szCs w:val="40"/>
      <w:lang w:val="pl-PL"/>
    </w:rPr>
  </w:style>
  <w:style w:type="character" w:customStyle="1" w:styleId="Nagwek2Znak">
    <w:name w:val="Nagłówek 2 Znak"/>
    <w:basedOn w:val="Domylnaczcionkaakapitu"/>
    <w:link w:val="Nagwek2"/>
    <w:uiPriority w:val="9"/>
    <w:semiHidden/>
    <w:rsid w:val="00606E5D"/>
    <w:rPr>
      <w:rFonts w:asciiTheme="majorHAnsi" w:eastAsiaTheme="majorEastAsia" w:hAnsiTheme="majorHAnsi" w:cstheme="majorBidi"/>
      <w:color w:val="2F5496" w:themeColor="accent1" w:themeShade="BF"/>
      <w:sz w:val="32"/>
      <w:szCs w:val="32"/>
      <w:lang w:val="pl-PL"/>
    </w:rPr>
  </w:style>
  <w:style w:type="character" w:customStyle="1" w:styleId="Nagwek3Znak">
    <w:name w:val="Nagłówek 3 Znak"/>
    <w:basedOn w:val="Domylnaczcionkaakapitu"/>
    <w:link w:val="Nagwek3"/>
    <w:uiPriority w:val="9"/>
    <w:semiHidden/>
    <w:rsid w:val="00606E5D"/>
    <w:rPr>
      <w:rFonts w:eastAsiaTheme="majorEastAsia" w:cstheme="majorBidi"/>
      <w:color w:val="2F5496" w:themeColor="accent1" w:themeShade="BF"/>
      <w:sz w:val="28"/>
      <w:szCs w:val="28"/>
      <w:lang w:val="pl-PL"/>
    </w:rPr>
  </w:style>
  <w:style w:type="character" w:customStyle="1" w:styleId="Nagwek4Znak">
    <w:name w:val="Nagłówek 4 Znak"/>
    <w:basedOn w:val="Domylnaczcionkaakapitu"/>
    <w:link w:val="Nagwek4"/>
    <w:uiPriority w:val="9"/>
    <w:semiHidden/>
    <w:rsid w:val="00606E5D"/>
    <w:rPr>
      <w:rFonts w:eastAsiaTheme="majorEastAsia" w:cstheme="majorBidi"/>
      <w:i/>
      <w:iCs/>
      <w:color w:val="2F5496" w:themeColor="accent1" w:themeShade="BF"/>
      <w:lang w:val="pl-PL"/>
    </w:rPr>
  </w:style>
  <w:style w:type="character" w:customStyle="1" w:styleId="Nagwek5Znak">
    <w:name w:val="Nagłówek 5 Znak"/>
    <w:basedOn w:val="Domylnaczcionkaakapitu"/>
    <w:link w:val="Nagwek5"/>
    <w:uiPriority w:val="9"/>
    <w:semiHidden/>
    <w:rsid w:val="00606E5D"/>
    <w:rPr>
      <w:rFonts w:eastAsiaTheme="majorEastAsia" w:cstheme="majorBidi"/>
      <w:color w:val="2F5496" w:themeColor="accent1" w:themeShade="BF"/>
      <w:lang w:val="pl-PL"/>
    </w:rPr>
  </w:style>
  <w:style w:type="character" w:customStyle="1" w:styleId="Nagwek6Znak">
    <w:name w:val="Nagłówek 6 Znak"/>
    <w:basedOn w:val="Domylnaczcionkaakapitu"/>
    <w:link w:val="Nagwek6"/>
    <w:uiPriority w:val="9"/>
    <w:semiHidden/>
    <w:rsid w:val="00606E5D"/>
    <w:rPr>
      <w:rFonts w:eastAsiaTheme="majorEastAsia" w:cstheme="majorBidi"/>
      <w:i/>
      <w:iCs/>
      <w:color w:val="595959" w:themeColor="text1" w:themeTint="A6"/>
      <w:lang w:val="pl-PL"/>
    </w:rPr>
  </w:style>
  <w:style w:type="character" w:customStyle="1" w:styleId="Nagwek7Znak">
    <w:name w:val="Nagłówek 7 Znak"/>
    <w:basedOn w:val="Domylnaczcionkaakapitu"/>
    <w:link w:val="Nagwek7"/>
    <w:uiPriority w:val="9"/>
    <w:semiHidden/>
    <w:rsid w:val="00606E5D"/>
    <w:rPr>
      <w:rFonts w:eastAsiaTheme="majorEastAsia" w:cstheme="majorBidi"/>
      <w:color w:val="595959" w:themeColor="text1" w:themeTint="A6"/>
      <w:lang w:val="pl-PL"/>
    </w:rPr>
  </w:style>
  <w:style w:type="character" w:customStyle="1" w:styleId="Nagwek8Znak">
    <w:name w:val="Nagłówek 8 Znak"/>
    <w:basedOn w:val="Domylnaczcionkaakapitu"/>
    <w:link w:val="Nagwek8"/>
    <w:uiPriority w:val="9"/>
    <w:semiHidden/>
    <w:rsid w:val="00606E5D"/>
    <w:rPr>
      <w:rFonts w:eastAsiaTheme="majorEastAsia" w:cstheme="majorBidi"/>
      <w:i/>
      <w:iCs/>
      <w:color w:val="272727" w:themeColor="text1" w:themeTint="D8"/>
      <w:lang w:val="pl-PL"/>
    </w:rPr>
  </w:style>
  <w:style w:type="character" w:customStyle="1" w:styleId="Nagwek9Znak">
    <w:name w:val="Nagłówek 9 Znak"/>
    <w:basedOn w:val="Domylnaczcionkaakapitu"/>
    <w:link w:val="Nagwek9"/>
    <w:uiPriority w:val="9"/>
    <w:semiHidden/>
    <w:rsid w:val="00606E5D"/>
    <w:rPr>
      <w:rFonts w:eastAsiaTheme="majorEastAsia" w:cstheme="majorBidi"/>
      <w:color w:val="272727" w:themeColor="text1" w:themeTint="D8"/>
      <w:lang w:val="pl-PL"/>
    </w:rPr>
  </w:style>
  <w:style w:type="paragraph" w:styleId="Tytu">
    <w:name w:val="Title"/>
    <w:basedOn w:val="Normalny"/>
    <w:next w:val="Normalny"/>
    <w:link w:val="TytuZnak"/>
    <w:uiPriority w:val="10"/>
    <w:qFormat/>
    <w:rsid w:val="00606E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06E5D"/>
    <w:rPr>
      <w:rFonts w:asciiTheme="majorHAnsi" w:eastAsiaTheme="majorEastAsia" w:hAnsiTheme="majorHAnsi" w:cstheme="majorBidi"/>
      <w:spacing w:val="-10"/>
      <w:kern w:val="28"/>
      <w:sz w:val="56"/>
      <w:szCs w:val="56"/>
      <w:lang w:val="pl-PL"/>
    </w:rPr>
  </w:style>
  <w:style w:type="paragraph" w:styleId="Podtytu">
    <w:name w:val="Subtitle"/>
    <w:basedOn w:val="Normalny"/>
    <w:next w:val="Normalny"/>
    <w:link w:val="PodtytuZnak"/>
    <w:uiPriority w:val="11"/>
    <w:qFormat/>
    <w:rsid w:val="00606E5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06E5D"/>
    <w:rPr>
      <w:rFonts w:eastAsiaTheme="majorEastAsia" w:cstheme="majorBidi"/>
      <w:color w:val="595959" w:themeColor="text1" w:themeTint="A6"/>
      <w:spacing w:val="15"/>
      <w:sz w:val="28"/>
      <w:szCs w:val="28"/>
      <w:lang w:val="pl-PL"/>
    </w:rPr>
  </w:style>
  <w:style w:type="paragraph" w:styleId="Cytat">
    <w:name w:val="Quote"/>
    <w:basedOn w:val="Normalny"/>
    <w:next w:val="Normalny"/>
    <w:link w:val="CytatZnak"/>
    <w:uiPriority w:val="29"/>
    <w:qFormat/>
    <w:rsid w:val="00606E5D"/>
    <w:pPr>
      <w:spacing w:before="160"/>
      <w:jc w:val="center"/>
    </w:pPr>
    <w:rPr>
      <w:i/>
      <w:iCs/>
      <w:color w:val="404040" w:themeColor="text1" w:themeTint="BF"/>
    </w:rPr>
  </w:style>
  <w:style w:type="character" w:customStyle="1" w:styleId="CytatZnak">
    <w:name w:val="Cytat Znak"/>
    <w:basedOn w:val="Domylnaczcionkaakapitu"/>
    <w:link w:val="Cytat"/>
    <w:uiPriority w:val="29"/>
    <w:rsid w:val="00606E5D"/>
    <w:rPr>
      <w:i/>
      <w:iCs/>
      <w:color w:val="404040" w:themeColor="text1" w:themeTint="BF"/>
      <w:lang w:val="pl-PL"/>
    </w:rPr>
  </w:style>
  <w:style w:type="paragraph" w:styleId="Akapitzlist">
    <w:name w:val="List Paragraph"/>
    <w:basedOn w:val="Normalny"/>
    <w:uiPriority w:val="34"/>
    <w:qFormat/>
    <w:rsid w:val="00606E5D"/>
    <w:pPr>
      <w:ind w:left="720"/>
      <w:contextualSpacing/>
    </w:pPr>
  </w:style>
  <w:style w:type="character" w:styleId="Wyrnienieintensywne">
    <w:name w:val="Intense Emphasis"/>
    <w:basedOn w:val="Domylnaczcionkaakapitu"/>
    <w:uiPriority w:val="21"/>
    <w:qFormat/>
    <w:rsid w:val="00606E5D"/>
    <w:rPr>
      <w:i/>
      <w:iCs/>
      <w:color w:val="2F5496" w:themeColor="accent1" w:themeShade="BF"/>
    </w:rPr>
  </w:style>
  <w:style w:type="paragraph" w:styleId="Cytatintensywny">
    <w:name w:val="Intense Quote"/>
    <w:basedOn w:val="Normalny"/>
    <w:next w:val="Normalny"/>
    <w:link w:val="CytatintensywnyZnak"/>
    <w:uiPriority w:val="30"/>
    <w:qFormat/>
    <w:rsid w:val="00606E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06E5D"/>
    <w:rPr>
      <w:i/>
      <w:iCs/>
      <w:color w:val="2F5496" w:themeColor="accent1" w:themeShade="BF"/>
      <w:lang w:val="pl-PL"/>
    </w:rPr>
  </w:style>
  <w:style w:type="character" w:styleId="Odwoanieintensywne">
    <w:name w:val="Intense Reference"/>
    <w:basedOn w:val="Domylnaczcionkaakapitu"/>
    <w:uiPriority w:val="32"/>
    <w:qFormat/>
    <w:rsid w:val="00606E5D"/>
    <w:rPr>
      <w:b/>
      <w:bCs/>
      <w:smallCaps/>
      <w:color w:val="2F5496" w:themeColor="accent1" w:themeShade="BF"/>
      <w:spacing w:val="5"/>
    </w:rPr>
  </w:style>
  <w:style w:type="character" w:styleId="Hipercze">
    <w:name w:val="Hyperlink"/>
    <w:basedOn w:val="Domylnaczcionkaakapitu"/>
    <w:uiPriority w:val="99"/>
    <w:unhideWhenUsed/>
    <w:rsid w:val="00606E5D"/>
    <w:rPr>
      <w:color w:val="0563C1" w:themeColor="hyperlink"/>
      <w:u w:val="single"/>
    </w:rPr>
  </w:style>
  <w:style w:type="character" w:styleId="Nierozpoznanawzmianka">
    <w:name w:val="Unresolved Mention"/>
    <w:basedOn w:val="Domylnaczcionkaakapitu"/>
    <w:uiPriority w:val="99"/>
    <w:semiHidden/>
    <w:unhideWhenUsed/>
    <w:rsid w:val="00606E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645</Words>
  <Characters>3679</Characters>
  <Application>Microsoft Office Word</Application>
  <DocSecurity>0</DocSecurity>
  <Lines>30</Lines>
  <Paragraphs>8</Paragraphs>
  <ScaleCrop>false</ScaleCrop>
  <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Grabowski</dc:creator>
  <cp:keywords/>
  <dc:description/>
  <cp:lastModifiedBy>Tomasz Grabowski</cp:lastModifiedBy>
  <cp:revision>2</cp:revision>
  <dcterms:created xsi:type="dcterms:W3CDTF">2026-08-04T07:40:00Z</dcterms:created>
  <dcterms:modified xsi:type="dcterms:W3CDTF">2026-08-04T07:43:00Z</dcterms:modified>
</cp:coreProperties>
</file>